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2F" w:rsidRPr="00D07D2F" w:rsidRDefault="00D07D2F" w:rsidP="00D07D2F">
      <w:pPr>
        <w:rPr>
          <w:lang w:val="en-US"/>
        </w:rPr>
      </w:pPr>
      <w:r w:rsidRPr="00D07D2F">
        <w:rPr>
          <w:lang w:val="en-US"/>
        </w:rPr>
        <w:t>Muster für einen Auflösungsbeschluss</w:t>
      </w:r>
    </w:p>
    <w:p w:rsidR="00D07D2F" w:rsidRPr="00D07D2F" w:rsidRDefault="00D07D2F" w:rsidP="00D07D2F">
      <w:pPr>
        <w:rPr>
          <w:lang w:val="en-US"/>
        </w:rPr>
      </w:pPr>
    </w:p>
    <w:p w:rsidR="00D07D2F" w:rsidRPr="009D47CB" w:rsidRDefault="00D07D2F" w:rsidP="00D07D2F">
      <w:pPr>
        <w:rPr>
          <w:color w:val="00B0F0"/>
          <w:lang w:val="en-US"/>
        </w:rPr>
      </w:pPr>
      <w:r w:rsidRPr="009D47CB">
        <w:rPr>
          <w:color w:val="00B0F0"/>
          <w:lang w:val="en-US"/>
        </w:rPr>
        <w:t xml:space="preserve">Arbeiter- / Angestellten-Betriebsrat der </w:t>
      </w:r>
    </w:p>
    <w:p w:rsidR="00D07D2F" w:rsidRPr="00D07D2F" w:rsidRDefault="00D07D2F" w:rsidP="00D07D2F">
      <w:pPr>
        <w:rPr>
          <w:lang w:val="en-US"/>
        </w:rPr>
      </w:pPr>
      <w:r w:rsidRPr="00D07D2F">
        <w:rPr>
          <w:lang w:val="en-US"/>
        </w:rPr>
        <w:t>Firma……………………………………………………….</w:t>
      </w: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b/>
          <w:lang w:val="en-US"/>
        </w:rPr>
      </w:pPr>
      <w:r w:rsidRPr="00D07D2F">
        <w:rPr>
          <w:b/>
          <w:lang w:val="en-US"/>
        </w:rPr>
        <w:t>Niederschrift Auflösungsbeschluss</w:t>
      </w: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  <w:r w:rsidRPr="00D07D2F">
        <w:rPr>
          <w:lang w:val="en-US"/>
        </w:rPr>
        <w:t xml:space="preserve">Die am……………………………….. tagende Betriebsversammlung bzw. Betriebsgruppenversammlung der </w:t>
      </w:r>
      <w:r w:rsidRPr="009D47CB">
        <w:rPr>
          <w:color w:val="00B0F0"/>
          <w:lang w:val="en-US"/>
        </w:rPr>
        <w:t xml:space="preserve">Arbeiter / Angestellten </w:t>
      </w:r>
      <w:r w:rsidRPr="00D07D2F">
        <w:rPr>
          <w:lang w:val="en-US"/>
        </w:rPr>
        <w:t xml:space="preserve">der Firma…………………………………………………………………………… , bei der mehr als die Hälfte der </w:t>
      </w:r>
      <w:proofErr w:type="spellStart"/>
      <w:r w:rsidRPr="00D07D2F">
        <w:rPr>
          <w:lang w:val="en-US"/>
        </w:rPr>
        <w:t>im</w:t>
      </w:r>
      <w:proofErr w:type="spellEnd"/>
      <w:r w:rsidRPr="00D07D2F">
        <w:rPr>
          <w:lang w:val="en-US"/>
        </w:rPr>
        <w:t xml:space="preserve"> </w:t>
      </w:r>
      <w:proofErr w:type="spellStart"/>
      <w:r w:rsidRPr="00D07D2F">
        <w:rPr>
          <w:lang w:val="en-US"/>
        </w:rPr>
        <w:t>Betrieb</w:t>
      </w:r>
      <w:proofErr w:type="spellEnd"/>
      <w:r w:rsidRPr="00D07D2F">
        <w:rPr>
          <w:lang w:val="en-US"/>
        </w:rPr>
        <w:t xml:space="preserve"> </w:t>
      </w:r>
      <w:proofErr w:type="spellStart"/>
      <w:r w:rsidRPr="00D07D2F">
        <w:rPr>
          <w:lang w:val="en-US"/>
        </w:rPr>
        <w:t>beschäftigten</w:t>
      </w:r>
      <w:proofErr w:type="spellEnd"/>
      <w:r w:rsidRPr="00D07D2F">
        <w:rPr>
          <w:lang w:val="en-US"/>
        </w:rPr>
        <w:t xml:space="preserve"> </w:t>
      </w:r>
      <w:proofErr w:type="spellStart"/>
      <w:r w:rsidRPr="00D07D2F">
        <w:rPr>
          <w:lang w:val="en-US"/>
        </w:rPr>
        <w:t>Arbeitne</w:t>
      </w:r>
      <w:r w:rsidR="000D6265">
        <w:rPr>
          <w:lang w:val="en-US"/>
        </w:rPr>
        <w:t>hmer:innen</w:t>
      </w:r>
      <w:proofErr w:type="spellEnd"/>
      <w:r w:rsidR="000D6265">
        <w:rPr>
          <w:lang w:val="en-US"/>
        </w:rPr>
        <w:t xml:space="preserve"> </w:t>
      </w:r>
      <w:proofErr w:type="spellStart"/>
      <w:r w:rsidR="000D6265">
        <w:rPr>
          <w:lang w:val="en-US"/>
        </w:rPr>
        <w:t>anwesend</w:t>
      </w:r>
      <w:proofErr w:type="spellEnd"/>
      <w:r w:rsidR="000D6265">
        <w:rPr>
          <w:lang w:val="en-US"/>
        </w:rPr>
        <w:t xml:space="preserve"> </w:t>
      </w:r>
      <w:proofErr w:type="spellStart"/>
      <w:r w:rsidR="000D6265">
        <w:rPr>
          <w:lang w:val="en-US"/>
        </w:rPr>
        <w:t>sind</w:t>
      </w:r>
      <w:proofErr w:type="spellEnd"/>
      <w:r w:rsidR="000D6265">
        <w:rPr>
          <w:lang w:val="en-US"/>
        </w:rPr>
        <w:t xml:space="preserve">, fast </w:t>
      </w:r>
      <w:proofErr w:type="spellStart"/>
      <w:r w:rsidRPr="009D47CB">
        <w:rPr>
          <w:color w:val="00B0F0"/>
          <w:lang w:val="en-US"/>
        </w:rPr>
        <w:t>mit</w:t>
      </w:r>
      <w:proofErr w:type="spellEnd"/>
      <w:r w:rsidRPr="009D47CB">
        <w:rPr>
          <w:color w:val="00B0F0"/>
          <w:lang w:val="en-US"/>
        </w:rPr>
        <w:t xml:space="preserve">…………………………. </w:t>
      </w:r>
      <w:r w:rsidRPr="000D6265">
        <w:rPr>
          <w:color w:val="00B0F0"/>
          <w:lang w:val="en-US"/>
        </w:rPr>
        <w:t xml:space="preserve">gegen…………………….. </w:t>
      </w:r>
      <w:proofErr w:type="spellStart"/>
      <w:r w:rsidRPr="000D6265">
        <w:rPr>
          <w:color w:val="00B0F0"/>
          <w:lang w:val="en-US"/>
        </w:rPr>
        <w:t>Stimmen</w:t>
      </w:r>
      <w:proofErr w:type="spellEnd"/>
      <w:r w:rsidR="000D6265" w:rsidRPr="000D6265">
        <w:rPr>
          <w:color w:val="00B0F0"/>
          <w:lang w:val="en-US"/>
        </w:rPr>
        <w:t>/</w:t>
      </w:r>
      <w:proofErr w:type="spellStart"/>
      <w:r w:rsidR="000D6265" w:rsidRPr="000D6265">
        <w:rPr>
          <w:color w:val="00B0F0"/>
          <w:lang w:val="en-US"/>
        </w:rPr>
        <w:t>einstimmig</w:t>
      </w:r>
      <w:proofErr w:type="spellEnd"/>
      <w:r w:rsidRPr="000D6265">
        <w:rPr>
          <w:color w:val="00B0F0"/>
          <w:lang w:val="en-US"/>
        </w:rPr>
        <w:t xml:space="preserve"> </w:t>
      </w:r>
      <w:proofErr w:type="spellStart"/>
      <w:r w:rsidRPr="00D07D2F">
        <w:rPr>
          <w:lang w:val="en-US"/>
        </w:rPr>
        <w:t>folgenden</w:t>
      </w:r>
      <w:proofErr w:type="spellEnd"/>
      <w:r w:rsidRPr="00D07D2F">
        <w:rPr>
          <w:lang w:val="en-US"/>
        </w:rPr>
        <w:t xml:space="preserve"> </w:t>
      </w:r>
      <w:proofErr w:type="spellStart"/>
      <w:r w:rsidRPr="00D07D2F">
        <w:rPr>
          <w:lang w:val="en-US"/>
        </w:rPr>
        <w:t>Beschluss</w:t>
      </w:r>
      <w:proofErr w:type="spellEnd"/>
      <w:r w:rsidRPr="00D07D2F">
        <w:rPr>
          <w:lang w:val="en-US"/>
        </w:rPr>
        <w:t>:</w:t>
      </w:r>
    </w:p>
    <w:p w:rsidR="00D07D2F" w:rsidRPr="00D07D2F" w:rsidRDefault="00D07D2F" w:rsidP="00D07D2F">
      <w:pPr>
        <w:rPr>
          <w:i/>
          <w:lang w:val="en-US"/>
        </w:rPr>
      </w:pPr>
      <w:r w:rsidRPr="00D07D2F">
        <w:rPr>
          <w:i/>
          <w:lang w:val="en-US"/>
        </w:rPr>
        <w:t xml:space="preserve"> </w:t>
      </w:r>
    </w:p>
    <w:p w:rsidR="00D07D2F" w:rsidRPr="00D07D2F" w:rsidRDefault="00D07D2F" w:rsidP="00D07D2F">
      <w:pPr>
        <w:rPr>
          <w:lang w:val="en-US"/>
        </w:rPr>
      </w:pPr>
      <w:r w:rsidRPr="00D07D2F">
        <w:rPr>
          <w:lang w:val="en-US"/>
        </w:rPr>
        <w:t>Im Falle der Auflösung oder Stilllegung des Betriebes bzw. des Wegfalls der Voraussetzung zur Errichtung eines Betriebsrates gem. § 50 ArbVG wird das im Betriebsratsfonds vorhandene Vermögen gemäß § 74 Abs. 7 ArbVG unter Beiziehung der zuständigen Abteilung der Kammer für Arbeiter und Angestellte wie folgt verwendet:</w:t>
      </w:r>
    </w:p>
    <w:p w:rsidR="00D07D2F" w:rsidRPr="00D07D2F" w:rsidRDefault="00D07D2F" w:rsidP="00D07D2F">
      <w:pPr>
        <w:rPr>
          <w:b/>
          <w:lang w:val="en-US"/>
        </w:rPr>
      </w:pPr>
    </w:p>
    <w:p w:rsidR="00D07D2F" w:rsidRPr="00D07D2F" w:rsidRDefault="00D07D2F" w:rsidP="00D07D2F">
      <w:pPr>
        <w:rPr>
          <w:b/>
          <w:lang w:val="en-US"/>
        </w:rPr>
      </w:pPr>
      <w:r w:rsidRPr="00D07D2F">
        <w:rPr>
          <w:b/>
          <w:lang w:val="en-US"/>
        </w:rPr>
        <w:t xml:space="preserve">Das Betriebsratsfondsvermögen ist auf die Mitarbeiter, die innerhalb eines Jahres vor der Auflösung bzw. </w:t>
      </w:r>
      <w:proofErr w:type="gramStart"/>
      <w:r w:rsidRPr="00D07D2F">
        <w:rPr>
          <w:b/>
          <w:lang w:val="en-US"/>
        </w:rPr>
        <w:t>dauernden</w:t>
      </w:r>
      <w:proofErr w:type="gramEnd"/>
      <w:r w:rsidRPr="00D07D2F">
        <w:rPr>
          <w:b/>
          <w:lang w:val="en-US"/>
        </w:rPr>
        <w:t xml:space="preserve"> Betriebsstillegung ein aufrechtes Dienstverhältnis hatten, im </w:t>
      </w:r>
      <w:proofErr w:type="spellStart"/>
      <w:r w:rsidRPr="00D07D2F">
        <w:rPr>
          <w:b/>
          <w:lang w:val="en-US"/>
        </w:rPr>
        <w:t>Verhältnis</w:t>
      </w:r>
      <w:proofErr w:type="spellEnd"/>
      <w:r w:rsidRPr="00D07D2F">
        <w:rPr>
          <w:b/>
          <w:lang w:val="en-US"/>
        </w:rPr>
        <w:t xml:space="preserve"> der </w:t>
      </w:r>
      <w:proofErr w:type="spellStart"/>
      <w:r w:rsidRPr="00D07D2F">
        <w:rPr>
          <w:b/>
          <w:lang w:val="en-US"/>
        </w:rPr>
        <w:t>im</w:t>
      </w:r>
      <w:proofErr w:type="spellEnd"/>
      <w:r w:rsidRPr="00D07D2F">
        <w:rPr>
          <w:b/>
          <w:lang w:val="en-US"/>
        </w:rPr>
        <w:t xml:space="preserve"> </w:t>
      </w:r>
      <w:proofErr w:type="spellStart"/>
      <w:r w:rsidRPr="00D07D2F">
        <w:rPr>
          <w:b/>
          <w:lang w:val="en-US"/>
        </w:rPr>
        <w:t>Betrieb</w:t>
      </w:r>
      <w:proofErr w:type="spellEnd"/>
      <w:r w:rsidRPr="00D07D2F">
        <w:rPr>
          <w:b/>
          <w:lang w:val="en-US"/>
        </w:rPr>
        <w:t xml:space="preserve"> </w:t>
      </w:r>
      <w:proofErr w:type="spellStart"/>
      <w:r w:rsidRPr="00D07D2F">
        <w:rPr>
          <w:b/>
          <w:lang w:val="en-US"/>
        </w:rPr>
        <w:t>beschäf</w:t>
      </w:r>
      <w:r w:rsidR="000D6265">
        <w:rPr>
          <w:b/>
          <w:lang w:val="en-US"/>
        </w:rPr>
        <w:t>tigten</w:t>
      </w:r>
      <w:proofErr w:type="spellEnd"/>
      <w:r w:rsidR="000D6265">
        <w:rPr>
          <w:b/>
          <w:lang w:val="en-US"/>
        </w:rPr>
        <w:t xml:space="preserve"> </w:t>
      </w:r>
      <w:proofErr w:type="spellStart"/>
      <w:r w:rsidR="000D6265">
        <w:rPr>
          <w:b/>
          <w:lang w:val="en-US"/>
        </w:rPr>
        <w:t>Dienstmonate</w:t>
      </w:r>
      <w:proofErr w:type="spellEnd"/>
      <w:r w:rsidR="000D6265">
        <w:rPr>
          <w:b/>
          <w:lang w:val="en-US"/>
        </w:rPr>
        <w:t xml:space="preserve"> </w:t>
      </w:r>
      <w:proofErr w:type="spellStart"/>
      <w:r w:rsidR="000D6265">
        <w:rPr>
          <w:b/>
          <w:lang w:val="en-US"/>
        </w:rPr>
        <w:t>aufzuteilen</w:t>
      </w:r>
      <w:proofErr w:type="spellEnd"/>
      <w:r w:rsidR="000D6265">
        <w:rPr>
          <w:b/>
          <w:lang w:val="en-US"/>
        </w:rPr>
        <w:t xml:space="preserve">, </w:t>
      </w:r>
      <w:proofErr w:type="spellStart"/>
      <w:r w:rsidR="000D6265">
        <w:rPr>
          <w:b/>
          <w:lang w:val="en-US"/>
        </w:rPr>
        <w:t>wobei</w:t>
      </w:r>
      <w:proofErr w:type="spellEnd"/>
      <w:r w:rsidR="000D6265">
        <w:rPr>
          <w:b/>
          <w:lang w:val="en-US"/>
        </w:rPr>
        <w:t xml:space="preserve"> </w:t>
      </w:r>
      <w:proofErr w:type="spellStart"/>
      <w:r w:rsidR="000D6265">
        <w:rPr>
          <w:b/>
          <w:lang w:val="en-US"/>
        </w:rPr>
        <w:t>nur</w:t>
      </w:r>
      <w:proofErr w:type="spellEnd"/>
      <w:r w:rsidR="000D6265">
        <w:rPr>
          <w:b/>
          <w:lang w:val="en-US"/>
        </w:rPr>
        <w:t xml:space="preserve"> </w:t>
      </w:r>
      <w:proofErr w:type="spellStart"/>
      <w:r w:rsidR="000D6265">
        <w:rPr>
          <w:b/>
          <w:lang w:val="en-US"/>
        </w:rPr>
        <w:t>ganz</w:t>
      </w:r>
      <w:r w:rsidR="00992F43">
        <w:rPr>
          <w:b/>
          <w:lang w:val="en-US"/>
        </w:rPr>
        <w:t>e</w:t>
      </w:r>
      <w:proofErr w:type="spellEnd"/>
      <w:r w:rsidR="00992F43">
        <w:rPr>
          <w:b/>
          <w:lang w:val="en-US"/>
        </w:rPr>
        <w:t xml:space="preserve"> </w:t>
      </w:r>
      <w:proofErr w:type="spellStart"/>
      <w:r w:rsidR="00992F43">
        <w:rPr>
          <w:b/>
          <w:lang w:val="en-US"/>
        </w:rPr>
        <w:t>Dienstmonate</w:t>
      </w:r>
      <w:proofErr w:type="spellEnd"/>
      <w:r w:rsidR="00992F43">
        <w:rPr>
          <w:b/>
          <w:lang w:val="en-US"/>
        </w:rPr>
        <w:t xml:space="preserve"> </w:t>
      </w:r>
      <w:proofErr w:type="spellStart"/>
      <w:r w:rsidR="00992F43">
        <w:rPr>
          <w:b/>
          <w:lang w:val="en-US"/>
        </w:rPr>
        <w:t>berücksichtigt</w:t>
      </w:r>
      <w:proofErr w:type="spellEnd"/>
      <w:r w:rsidR="00992F43">
        <w:rPr>
          <w:b/>
          <w:lang w:val="en-US"/>
        </w:rPr>
        <w:t xml:space="preserve"> we</w:t>
      </w:r>
      <w:bookmarkStart w:id="0" w:name="_GoBack"/>
      <w:bookmarkEnd w:id="0"/>
      <w:r w:rsidR="000D6265">
        <w:rPr>
          <w:b/>
          <w:lang w:val="en-US"/>
        </w:rPr>
        <w:t xml:space="preserve">rden. Die </w:t>
      </w:r>
      <w:proofErr w:type="spellStart"/>
      <w:r w:rsidR="000D6265">
        <w:rPr>
          <w:b/>
          <w:lang w:val="en-US"/>
        </w:rPr>
        <w:t>Wartefrist</w:t>
      </w:r>
      <w:proofErr w:type="spellEnd"/>
      <w:r w:rsidR="000D6265">
        <w:rPr>
          <w:b/>
          <w:lang w:val="en-US"/>
        </w:rPr>
        <w:t xml:space="preserve"> </w:t>
      </w:r>
      <w:proofErr w:type="spellStart"/>
      <w:r w:rsidR="000D6265">
        <w:rPr>
          <w:b/>
          <w:lang w:val="en-US"/>
        </w:rPr>
        <w:t>beträgt</w:t>
      </w:r>
      <w:proofErr w:type="spellEnd"/>
      <w:r w:rsidR="000D6265">
        <w:rPr>
          <w:b/>
          <w:lang w:val="en-US"/>
        </w:rPr>
        <w:t xml:space="preserve"> 1 </w:t>
      </w:r>
      <w:proofErr w:type="spellStart"/>
      <w:r w:rsidR="000D6265">
        <w:rPr>
          <w:b/>
          <w:lang w:val="en-US"/>
        </w:rPr>
        <w:t>Monat</w:t>
      </w:r>
      <w:proofErr w:type="spellEnd"/>
      <w:r w:rsidR="000D6265">
        <w:rPr>
          <w:b/>
          <w:lang w:val="en-US"/>
        </w:rPr>
        <w:t>.</w:t>
      </w:r>
    </w:p>
    <w:p w:rsidR="00D07D2F" w:rsidRPr="00D07D2F" w:rsidRDefault="00D07D2F" w:rsidP="00D07D2F">
      <w:pPr>
        <w:rPr>
          <w:b/>
          <w:lang w:val="en-US"/>
        </w:rPr>
      </w:pP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  <w:r w:rsidRPr="00D07D2F">
        <w:rPr>
          <w:lang w:val="en-US"/>
        </w:rPr>
        <w:t xml:space="preserve">Betriebsratsvorsitzender: </w:t>
      </w: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  <w:r w:rsidRPr="00D07D2F">
        <w:rPr>
          <w:lang w:val="en-US"/>
        </w:rPr>
        <w:t xml:space="preserve">Betriebsratsmitglieder: </w:t>
      </w: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  <w:r>
        <w:rPr>
          <w:lang w:val="en-US"/>
        </w:rPr>
        <w:t>Rechnungsprüfer:i</w:t>
      </w:r>
      <w:r w:rsidRPr="00D07D2F">
        <w:rPr>
          <w:lang w:val="en-US"/>
        </w:rPr>
        <w:t>nnen:</w:t>
      </w: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  <w:r>
        <w:rPr>
          <w:lang w:val="en-US"/>
        </w:rPr>
        <w:t>Schriftführer:i</w:t>
      </w:r>
      <w:r w:rsidRPr="00D07D2F">
        <w:rPr>
          <w:lang w:val="en-US"/>
        </w:rPr>
        <w:t>n:</w:t>
      </w: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</w:p>
    <w:p w:rsidR="00D07D2F" w:rsidRPr="00D07D2F" w:rsidRDefault="00D07D2F" w:rsidP="00D07D2F">
      <w:pPr>
        <w:rPr>
          <w:lang w:val="en-US"/>
        </w:rPr>
      </w:pPr>
    </w:p>
    <w:p w:rsidR="00BF1E63" w:rsidRPr="00D07D2F" w:rsidRDefault="00BF1E63" w:rsidP="00D07D2F"/>
    <w:sectPr w:rsidR="00BF1E63" w:rsidRPr="00D07D2F" w:rsidSect="00577123">
      <w:headerReference w:type="default" r:id="rId8"/>
      <w:pgSz w:w="11906" w:h="16838"/>
      <w:pgMar w:top="2268" w:right="2098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7B" w:rsidRDefault="00F47D7B" w:rsidP="007E3340">
      <w:pPr>
        <w:spacing w:after="0" w:line="240" w:lineRule="auto"/>
      </w:pPr>
      <w:r>
        <w:separator/>
      </w:r>
    </w:p>
  </w:endnote>
  <w:endnote w:type="continuationSeparator" w:id="0">
    <w:p w:rsidR="00F47D7B" w:rsidRDefault="00F47D7B" w:rsidP="007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7B" w:rsidRDefault="00F47D7B" w:rsidP="007E3340">
      <w:pPr>
        <w:spacing w:after="0" w:line="240" w:lineRule="auto"/>
      </w:pPr>
      <w:r>
        <w:separator/>
      </w:r>
    </w:p>
  </w:footnote>
  <w:footnote w:type="continuationSeparator" w:id="0">
    <w:p w:rsidR="00F47D7B" w:rsidRDefault="00F47D7B" w:rsidP="007E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CB1DE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e30613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0"/>
    <w:rsid w:val="000160E2"/>
    <w:rsid w:val="00027D53"/>
    <w:rsid w:val="000B7563"/>
    <w:rsid w:val="000D6265"/>
    <w:rsid w:val="00141A83"/>
    <w:rsid w:val="001626C5"/>
    <w:rsid w:val="00182BEB"/>
    <w:rsid w:val="00182D5C"/>
    <w:rsid w:val="0023705D"/>
    <w:rsid w:val="00270260"/>
    <w:rsid w:val="002979C2"/>
    <w:rsid w:val="002B4E93"/>
    <w:rsid w:val="003156B3"/>
    <w:rsid w:val="00317D3F"/>
    <w:rsid w:val="00343BEB"/>
    <w:rsid w:val="00392DD4"/>
    <w:rsid w:val="003A53D5"/>
    <w:rsid w:val="003B0771"/>
    <w:rsid w:val="003B4EB1"/>
    <w:rsid w:val="004005AB"/>
    <w:rsid w:val="00406FC2"/>
    <w:rsid w:val="004A6D28"/>
    <w:rsid w:val="004E3ADB"/>
    <w:rsid w:val="00564AF3"/>
    <w:rsid w:val="005729B1"/>
    <w:rsid w:val="00577123"/>
    <w:rsid w:val="00583460"/>
    <w:rsid w:val="005C7463"/>
    <w:rsid w:val="00626970"/>
    <w:rsid w:val="00635EF2"/>
    <w:rsid w:val="006670AC"/>
    <w:rsid w:val="00667620"/>
    <w:rsid w:val="00676D3D"/>
    <w:rsid w:val="00695D8C"/>
    <w:rsid w:val="006B7130"/>
    <w:rsid w:val="006C5259"/>
    <w:rsid w:val="006D1FE8"/>
    <w:rsid w:val="006F2F4E"/>
    <w:rsid w:val="00722158"/>
    <w:rsid w:val="007C6694"/>
    <w:rsid w:val="007E3340"/>
    <w:rsid w:val="007E5C0D"/>
    <w:rsid w:val="008961D5"/>
    <w:rsid w:val="008B0812"/>
    <w:rsid w:val="00920A98"/>
    <w:rsid w:val="00926731"/>
    <w:rsid w:val="00926B46"/>
    <w:rsid w:val="0093274A"/>
    <w:rsid w:val="00992F43"/>
    <w:rsid w:val="009C4C38"/>
    <w:rsid w:val="009D47CB"/>
    <w:rsid w:val="009E535C"/>
    <w:rsid w:val="00A25DF0"/>
    <w:rsid w:val="00A27C65"/>
    <w:rsid w:val="00A32774"/>
    <w:rsid w:val="00A754D4"/>
    <w:rsid w:val="00AD4DF8"/>
    <w:rsid w:val="00AE6C4F"/>
    <w:rsid w:val="00AE7411"/>
    <w:rsid w:val="00B31123"/>
    <w:rsid w:val="00BF1E63"/>
    <w:rsid w:val="00C34437"/>
    <w:rsid w:val="00C43DFD"/>
    <w:rsid w:val="00C72627"/>
    <w:rsid w:val="00CB4EBE"/>
    <w:rsid w:val="00D07D2F"/>
    <w:rsid w:val="00D12EEF"/>
    <w:rsid w:val="00D31029"/>
    <w:rsid w:val="00D75723"/>
    <w:rsid w:val="00D80033"/>
    <w:rsid w:val="00D97FBC"/>
    <w:rsid w:val="00DB512B"/>
    <w:rsid w:val="00DB5F11"/>
    <w:rsid w:val="00DE3B1D"/>
    <w:rsid w:val="00E232F3"/>
    <w:rsid w:val="00E306DF"/>
    <w:rsid w:val="00E56586"/>
    <w:rsid w:val="00E738E0"/>
    <w:rsid w:val="00E76AFE"/>
    <w:rsid w:val="00E9726D"/>
    <w:rsid w:val="00EE5627"/>
    <w:rsid w:val="00EF2B07"/>
    <w:rsid w:val="00EF366A"/>
    <w:rsid w:val="00EF6573"/>
    <w:rsid w:val="00F049B1"/>
    <w:rsid w:val="00F10D46"/>
    <w:rsid w:val="00F13ECD"/>
    <w:rsid w:val="00F458E8"/>
    <w:rsid w:val="00F47D7B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42BE4"/>
  <w15:chartTrackingRefBased/>
  <w15:docId w15:val="{C8417DC5-E8B2-4F62-9595-4F84BB08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260"/>
    <w:pPr>
      <w:spacing w:after="80" w:line="264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A25DF0"/>
    <w:pPr>
      <w:keepNext/>
      <w:keepLines/>
      <w:spacing w:before="240" w:after="0"/>
      <w:jc w:val="left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after="0"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A25DF0"/>
    <w:rPr>
      <w:rFonts w:ascii="Titillium Bd" w:eastAsiaTheme="majorEastAsia" w:hAnsi="Titillium Bd" w:cstheme="majorBidi"/>
      <w:b/>
      <w:bCs/>
      <w:sz w:val="20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pPr>
      <w:spacing w:after="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A25DF0"/>
    <w:pPr>
      <w:numPr>
        <w:numId w:val="2"/>
      </w:numPr>
      <w:spacing w:after="60"/>
      <w:ind w:left="680" w:hanging="340"/>
      <w:contextualSpacing w:val="0"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A25DF0"/>
    <w:rPr>
      <w:rFonts w:ascii="Titillium" w:hAnsi="Titillium"/>
      <w:sz w:val="20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uiPriority w:val="1"/>
    <w:qFormat/>
    <w:rsid w:val="00406FC2"/>
    <w:pPr>
      <w:spacing w:after="0"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uiPriority w:val="1"/>
    <w:rsid w:val="00270260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after="0" w:line="240" w:lineRule="auto"/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character" w:styleId="IntensiverVerweis">
    <w:name w:val="Intense Reference"/>
    <w:basedOn w:val="Absatz-Standardschriftart"/>
    <w:uiPriority w:val="32"/>
    <w:qFormat/>
    <w:rsid w:val="00270260"/>
    <w:rPr>
      <w:b/>
      <w:bCs/>
      <w:caps w:val="0"/>
      <w:smallCaps/>
      <w:color w:val="808080" w:themeColor="background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K CD">
  <a:themeElements>
    <a:clrScheme name="AK CD">
      <a:dk1>
        <a:sysClr val="windowText" lastClr="000000"/>
      </a:dk1>
      <a:lt1>
        <a:srgbClr val="FFFFFF"/>
      </a:lt1>
      <a:dk2>
        <a:srgbClr val="F4F4F4"/>
      </a:dk2>
      <a:lt2>
        <a:srgbClr val="FFFFFF"/>
      </a:lt2>
      <a:accent1>
        <a:srgbClr val="E30613"/>
      </a:accent1>
      <a:accent2>
        <a:srgbClr val="3F3F3F"/>
      </a:accent2>
      <a:accent3>
        <a:srgbClr val="FB797F"/>
      </a:accent3>
      <a:accent4>
        <a:srgbClr val="757070"/>
      </a:accent4>
      <a:accent5>
        <a:srgbClr val="FDA1A5"/>
      </a:accent5>
      <a:accent6>
        <a:srgbClr val="BFBFBF"/>
      </a:accent6>
      <a:hlink>
        <a:srgbClr val="7F7F7F"/>
      </a:hlink>
      <a:folHlink>
        <a:srgbClr val="3F3F3F"/>
      </a:folHlink>
    </a:clrScheme>
    <a:fontScheme name="Benutzerdefiniert 21">
      <a:majorFont>
        <a:latin typeface="Titillium Bd"/>
        <a:ea typeface=""/>
        <a:cs typeface=""/>
      </a:majorFont>
      <a:minorFont>
        <a:latin typeface="Titill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E657-7F5A-4160-862D-7A535F6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Sandra</dc:creator>
  <cp:keywords/>
  <dc:description/>
  <cp:lastModifiedBy>Langer, Christiane</cp:lastModifiedBy>
  <cp:revision>6</cp:revision>
  <cp:lastPrinted>2016-01-12T07:27:00Z</cp:lastPrinted>
  <dcterms:created xsi:type="dcterms:W3CDTF">2023-07-13T07:04:00Z</dcterms:created>
  <dcterms:modified xsi:type="dcterms:W3CDTF">2023-08-07T14:26:00Z</dcterms:modified>
</cp:coreProperties>
</file>